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Законодательные изменения в сфере недвижимости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1 марта 2025 года в России вступили в силу масштабные изменения в процедуры кадастрового учета и регистрации прав на недвижимость.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Основная цель реформ – полная цифровизация процессов, повышение прозрачности сделок и защита прав собственников.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Рассказываем о ключевых нововведениях.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1 марта 2025 года юридические лица обязаны подавать заявления на государственный кадастровый учет и государственную регистрацию прав, а также прилагаемые к ним документы в Росреестр только в электронном виде. Бумажные документы будут возвращаться без расс</w:t>
      </w:r>
      <w:r>
        <w:rPr>
          <w:rFonts w:ascii="Segoe UI" w:hAnsi="Segoe UI" w:cs="Segoe UI"/>
        </w:rPr>
        <w:t xml:space="preserve">мотрения.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Исключение из общего правила предусмотрено для случаев, когда стороной сделки выступает физическое лицо (кроме договоров участия в долевом строительстве) и при временной технической невозможности сделать это в электронной форме, если на сайте Росреестра ест</w:t>
      </w:r>
      <w:r>
        <w:rPr>
          <w:rFonts w:ascii="Segoe UI" w:hAnsi="Segoe UI" w:cs="Segoe UI"/>
        </w:rPr>
        <w:t xml:space="preserve">ь информация о временных проблемах с электронной регистрацией.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некоторых юридических лиц до 1 января 2026 года сохраняется возможность подачи документов в бумажном виде в офисах МФЦ. Это касается крестьянских (фермерских) хозяйств, садоводческих, огороднических и дачных некоммерческих товариществ, гаражных, жилищны</w:t>
      </w:r>
      <w:r>
        <w:rPr>
          <w:rFonts w:ascii="Segoe UI" w:hAnsi="Segoe UI" w:cs="Segoe UI"/>
        </w:rPr>
        <w:t xml:space="preserve">х и жилищно-строительных кооперативов, товариществ собственников жилья.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Также необходимо отметить, что с 1 марта 2025 года регистрационные действия в отношении земельного участка, являющегося предметом договора, не смогут быть выполнены, если в Едином государственном реестре недвижимости отсутствуют сведения о местоположении ег</w:t>
      </w:r>
      <w:r>
        <w:rPr>
          <w:rFonts w:ascii="Segoe UI" w:hAnsi="Segoe UI" w:cs="Segoe UI"/>
        </w:rPr>
        <w:t xml:space="preserve">о границ. На сегодняшний день осуществить государственный кадастровый учет или оформить права на здание, сооружение или объект незавершенного строительства, расположенные на земельном участке без учтенных границ не представляется возможным. Применение новых</w:t>
      </w:r>
      <w:r>
        <w:rPr>
          <w:rFonts w:ascii="Segoe UI" w:hAnsi="Segoe UI" w:cs="Segoe UI"/>
        </w:rPr>
        <w:t xml:space="preserve"> положений не зависит ни от категории земельного участка, ни от вида его разрешенного использования.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2025-08-07T05:57:32Z</dcterms:modified>
</cp:coreProperties>
</file>